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项目名称：</w:t>
      </w:r>
      <w:r>
        <w:rPr>
          <w:rFonts w:hint="eastAsia" w:ascii="楷体" w:hAnsi="楷体" w:eastAsia="楷体" w:cs="楷体"/>
          <w:b w:val="0"/>
          <w:bCs/>
          <w:sz w:val="36"/>
          <w:szCs w:val="36"/>
          <w:u w:val="single"/>
          <w:lang w:val="en-US" w:eastAsia="zh-CN"/>
        </w:rPr>
        <w:t xml:space="preserve"> VR编辑展示软件</w:t>
      </w:r>
      <w:r>
        <w:rPr>
          <w:rFonts w:hint="eastAsia" w:ascii="楷体" w:hAnsi="楷体" w:eastAsia="楷体" w:cs="楷体"/>
          <w:b w:val="0"/>
          <w:bCs/>
          <w:sz w:val="36"/>
          <w:szCs w:val="36"/>
          <w:u w:val="single"/>
          <w:lang w:eastAsia="zh-CN"/>
        </w:rPr>
        <w:t>采购项目</w:t>
      </w: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bookmarkStart w:id="5" w:name="_GoBack"/>
      <w:bookmarkEnd w:id="5"/>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二〇一九年十二月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pStyle w:val="13"/>
        <w:keepNext w:val="0"/>
        <w:keepLines w:val="0"/>
        <w:pageBreakBefore w:val="0"/>
        <w:widowControl w:val="0"/>
        <w:kinsoku/>
        <w:wordWrap/>
        <w:overflowPunct/>
        <w:topLinePunct w:val="0"/>
        <w:autoSpaceDE/>
        <w:autoSpaceDN/>
        <w:bidi w:val="0"/>
        <w:adjustRightInd/>
        <w:spacing w:after="165" w:line="540" w:lineRule="exact"/>
        <w:ind w:left="0" w:leftChars="0" w:firstLine="560" w:firstLineChars="200"/>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ascii="宋体" w:hAnsi="宋体"/>
          <w:color w:val="000000"/>
          <w:sz w:val="28"/>
          <w:szCs w:val="28"/>
          <w:u w:val="single"/>
          <w:lang w:val="en-US" w:eastAsia="zh-CN"/>
        </w:rPr>
        <w:t xml:space="preserve"> </w:t>
      </w:r>
      <w:r>
        <w:rPr>
          <w:rFonts w:hint="eastAsia" w:ascii="宋体" w:hAnsi="宋体" w:cs="Arial"/>
          <w:color w:val="000000"/>
          <w:sz w:val="28"/>
          <w:szCs w:val="28"/>
          <w:u w:val="single"/>
          <w:lang w:val="en-US" w:eastAsia="zh-CN"/>
        </w:rPr>
        <w:t>VR编辑展示软件</w:t>
      </w:r>
      <w:r>
        <w:rPr>
          <w:rFonts w:hint="eastAsia" w:ascii="宋体" w:hAnsi="宋体" w:cs="Arial"/>
          <w:color w:val="000000"/>
          <w:sz w:val="28"/>
          <w:szCs w:val="28"/>
          <w:u w:val="single"/>
        </w:rPr>
        <w:t>采购</w:t>
      </w:r>
      <w:r>
        <w:rPr>
          <w:rFonts w:hint="eastAsia" w:ascii="宋体" w:hAnsi="宋体" w:cs="Arial"/>
          <w:color w:val="000000"/>
          <w:sz w:val="28"/>
          <w:szCs w:val="28"/>
          <w:u w:val="single"/>
          <w:lang w:val="en-US" w:eastAsia="zh-CN"/>
        </w:rPr>
        <w:t xml:space="preserve"> </w:t>
      </w:r>
      <w:r>
        <w:rPr>
          <w:rFonts w:hint="eastAsia" w:ascii="宋体" w:hAnsi="宋体"/>
          <w:color w:val="000000"/>
          <w:sz w:val="28"/>
          <w:szCs w:val="28"/>
        </w:rPr>
        <w:t>项目进行公开招标采购，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ascii="宋体" w:hAnsi="宋体" w:cs="Arial"/>
          <w:color w:val="000000"/>
          <w:sz w:val="28"/>
          <w:szCs w:val="28"/>
          <w:u w:val="single"/>
          <w:lang w:val="en-US" w:eastAsia="zh-CN"/>
        </w:rPr>
        <w:t>VR编辑展示软件</w:t>
      </w:r>
      <w:r>
        <w:rPr>
          <w:rFonts w:hint="eastAsia" w:ascii="宋体" w:hAnsi="宋体" w:cs="Arial"/>
          <w:color w:val="000000"/>
          <w:sz w:val="28"/>
          <w:szCs w:val="28"/>
          <w:u w:val="single"/>
        </w:rPr>
        <w:t>采购</w:t>
      </w:r>
      <w:r>
        <w:rPr>
          <w:rFonts w:hint="eastAsia" w:ascii="宋体" w:hAnsi="宋体"/>
          <w:color w:val="000000"/>
          <w:sz w:val="28"/>
          <w:szCs w:val="28"/>
          <w:u w:val="single"/>
        </w:rPr>
        <w:t>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cs="仿宋_GB2312" w:asciiTheme="minorEastAsia" w:hAnsiTheme="minorEastAsia"/>
                <w:sz w:val="24"/>
                <w:szCs w:val="24"/>
                <w:lang w:val="en-US" w:eastAsia="zh-CN"/>
              </w:rPr>
              <w:t>VR编辑展示软件（详见第二章货物需求一览表）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21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填写报名表和</w:t>
      </w:r>
      <w:r>
        <w:rPr>
          <w:rFonts w:hint="eastAsia" w:ascii="宋体" w:hAnsi="宋体"/>
          <w:sz w:val="28"/>
          <w:szCs w:val="28"/>
          <w:lang w:eastAsia="zh-CN"/>
        </w:rPr>
        <w:t>领取</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3</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9</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二〇一九年十二月三日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kinsoku/>
        <w:wordWrap/>
        <w:overflowPunct/>
        <w:topLinePunct w:val="0"/>
        <w:bidi w:val="0"/>
        <w:adjustRightInd w:val="0"/>
        <w:spacing w:line="50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kinsoku/>
        <w:wordWrap/>
        <w:overflowPunct/>
        <w:topLinePunct w:val="0"/>
        <w:bidi w:val="0"/>
        <w:spacing w:line="50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keepNext w:val="0"/>
        <w:keepLines w:val="0"/>
        <w:pageBreakBefore w:val="0"/>
        <w:widowControl w:val="0"/>
        <w:kinsoku/>
        <w:wordWrap/>
        <w:overflowPunct/>
        <w:topLinePunct w:val="0"/>
        <w:autoSpaceDE/>
        <w:autoSpaceDN/>
        <w:bidi w:val="0"/>
        <w:adjustRightInd/>
        <w:snapToGrid/>
        <w:spacing w:before="167" w:beforeLines="50" w:after="167" w:afterLines="50" w:line="400" w:lineRule="exact"/>
        <w:jc w:val="center"/>
        <w:textAlignment w:val="auto"/>
        <w:rPr>
          <w:rFonts w:hint="eastAsia" w:ascii="方正小标宋简体" w:hAnsi="方正小标宋简体" w:eastAsia="方正小标宋简体" w:cs="方正小标宋简体"/>
          <w:color w:val="000000"/>
          <w:sz w:val="21"/>
          <w:szCs w:val="21"/>
          <w:u w:val="none"/>
          <w:lang w:eastAsia="zh-CN"/>
        </w:rPr>
      </w:pPr>
      <w:r>
        <w:rPr>
          <w:rFonts w:hint="eastAsia" w:ascii="方正小标宋简体" w:hAnsi="方正小标宋简体" w:eastAsia="方正小标宋简体" w:cs="方正小标宋简体"/>
          <w:color w:val="000000"/>
          <w:sz w:val="21"/>
          <w:szCs w:val="21"/>
          <w:u w:val="none"/>
          <w:lang w:val="en-US" w:eastAsia="zh-CN"/>
        </w:rPr>
        <w:t>VR编辑展示软件</w:t>
      </w:r>
      <w:r>
        <w:rPr>
          <w:rFonts w:hint="eastAsia" w:ascii="方正小标宋简体" w:hAnsi="方正小标宋简体" w:eastAsia="方正小标宋简体" w:cs="方正小标宋简体"/>
          <w:color w:val="000000"/>
          <w:sz w:val="21"/>
          <w:szCs w:val="21"/>
          <w:u w:val="none"/>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41"/>
        <w:gridCol w:w="75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535"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41"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32"/>
                <w:szCs w:val="32"/>
              </w:rPr>
            </w:pPr>
            <w:r>
              <w:rPr>
                <w:rFonts w:hint="eastAsia" w:asciiTheme="minorEastAsia" w:hAnsiTheme="minorEastAsia" w:cstheme="minorEastAsia"/>
                <w:kern w:val="2"/>
                <w:sz w:val="21"/>
                <w:szCs w:val="24"/>
                <w:lang w:val="en-US" w:eastAsia="zh-CN" w:bidi="ar-SA"/>
              </w:rPr>
              <w:t>VR编辑</w:t>
            </w:r>
            <w:r>
              <w:rPr>
                <w:rFonts w:hint="eastAsia" w:eastAsia="宋体" w:asciiTheme="minorEastAsia" w:hAnsiTheme="minorEastAsia" w:cstheme="minorEastAsia"/>
                <w:kern w:val="2"/>
                <w:sz w:val="21"/>
                <w:szCs w:val="24"/>
                <w:lang w:val="en-US" w:eastAsia="zh-CN" w:bidi="ar-SA"/>
              </w:rPr>
              <w:t>展示软件</w:t>
            </w:r>
          </w:p>
        </w:tc>
        <w:tc>
          <w:tcPr>
            <w:tcW w:w="7535" w:type="dxa"/>
            <w:vAlign w:val="center"/>
          </w:tcPr>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b/>
                <w:bCs/>
                <w:color w:val="000000"/>
                <w:u w:val="none"/>
                <w:lang w:val="en-US" w:eastAsia="zh-CN"/>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b/>
                <w:bCs/>
                <w:color w:val="000000"/>
                <w:u w:val="none"/>
              </w:rPr>
            </w:pPr>
            <w:r>
              <w:rPr>
                <w:rFonts w:hint="eastAsia" w:asciiTheme="minorEastAsia" w:hAnsiTheme="minorEastAsia" w:eastAsiaTheme="minorEastAsia"/>
                <w:b/>
                <w:bCs/>
                <w:color w:val="000000"/>
                <w:u w:val="none"/>
                <w:lang w:val="en-US" w:eastAsia="zh-CN"/>
              </w:rPr>
              <w:t>一、经开发完成的成品软件，为</w:t>
            </w:r>
            <w:r>
              <w:rPr>
                <w:rFonts w:asciiTheme="minorEastAsia" w:hAnsiTheme="minorEastAsia" w:eastAsiaTheme="minorEastAsia"/>
                <w:b/>
                <w:bCs/>
                <w:color w:val="000000"/>
                <w:u w:val="none"/>
              </w:rPr>
              <w:t>机房</w:t>
            </w:r>
            <w:r>
              <w:rPr>
                <w:rFonts w:hint="eastAsia" w:asciiTheme="minorEastAsia" w:hAnsiTheme="minorEastAsia" w:eastAsiaTheme="minorEastAsia"/>
                <w:b/>
                <w:bCs/>
                <w:color w:val="000000"/>
                <w:u w:val="none"/>
              </w:rPr>
              <w:t>网络版，</w:t>
            </w:r>
            <w:r>
              <w:rPr>
                <w:rFonts w:asciiTheme="minorEastAsia" w:hAnsiTheme="minorEastAsia" w:eastAsiaTheme="minorEastAsia"/>
                <w:b/>
                <w:bCs/>
                <w:color w:val="000000"/>
                <w:u w:val="none"/>
              </w:rPr>
              <w:t>通过网络验证授权，</w:t>
            </w:r>
            <w:r>
              <w:rPr>
                <w:rFonts w:hint="eastAsia" w:asciiTheme="minorEastAsia" w:hAnsiTheme="minorEastAsia" w:eastAsiaTheme="minorEastAsia"/>
                <w:b/>
                <w:bCs/>
                <w:color w:val="000000"/>
                <w:u w:val="none"/>
              </w:rPr>
              <w:t>此标</w:t>
            </w:r>
            <w:r>
              <w:rPr>
                <w:rFonts w:hint="eastAsia" w:asciiTheme="minorEastAsia" w:hAnsiTheme="minorEastAsia" w:eastAsiaTheme="minorEastAsia"/>
                <w:b/>
                <w:bCs/>
                <w:color w:val="000000"/>
                <w:u w:val="none"/>
                <w:lang w:val="en-US" w:eastAsia="zh-CN"/>
              </w:rPr>
              <w:t>采购</w:t>
            </w:r>
            <w:r>
              <w:rPr>
                <w:rFonts w:hint="eastAsia" w:asciiTheme="minorEastAsia" w:hAnsiTheme="minorEastAsia" w:eastAsiaTheme="minorEastAsia"/>
                <w:b/>
                <w:bCs/>
                <w:color w:val="000000"/>
                <w:u w:val="none"/>
              </w:rPr>
              <w:t>2</w:t>
            </w:r>
            <w:r>
              <w:rPr>
                <w:rFonts w:hint="eastAsia" w:asciiTheme="minorEastAsia" w:hAnsiTheme="minorEastAsia" w:eastAsiaTheme="minorEastAsia"/>
                <w:b/>
                <w:bCs/>
                <w:color w:val="000000"/>
                <w:u w:val="none"/>
                <w:lang w:val="en-US" w:eastAsia="zh-CN"/>
              </w:rPr>
              <w:t>1个节点</w:t>
            </w:r>
            <w:r>
              <w:rPr>
                <w:rFonts w:hint="eastAsia" w:asciiTheme="minorEastAsia" w:hAnsiTheme="minorEastAsia" w:eastAsiaTheme="minorEastAsia"/>
                <w:b/>
                <w:bCs/>
                <w:color w:val="000000"/>
                <w:u w:val="none"/>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b/>
                <w:bCs/>
                <w:color w:val="000000"/>
                <w:u w:val="none"/>
              </w:rPr>
            </w:pPr>
            <w:r>
              <w:rPr>
                <w:rFonts w:hint="eastAsia" w:asciiTheme="minorEastAsia" w:hAnsiTheme="minorEastAsia" w:eastAsiaTheme="minorEastAsia"/>
                <w:b/>
                <w:bCs/>
                <w:color w:val="000000"/>
                <w:u w:val="none"/>
                <w:lang w:eastAsia="zh-CN"/>
              </w:rPr>
              <w:t>二、</w:t>
            </w:r>
            <w:r>
              <w:rPr>
                <w:rFonts w:hint="eastAsia" w:asciiTheme="minorEastAsia" w:hAnsiTheme="minorEastAsia" w:eastAsiaTheme="minorEastAsia"/>
                <w:b/>
                <w:bCs/>
                <w:color w:val="000000"/>
                <w:u w:val="none"/>
              </w:rPr>
              <w:t>支持多界面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rPr>
              <w:t>提供多种语言界面，至少包含中文、英文语等，方便用户使用；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b/>
                <w:bCs/>
                <w:color w:val="000000"/>
                <w:u w:val="none"/>
              </w:rPr>
            </w:pPr>
            <w:r>
              <w:rPr>
                <w:rFonts w:hint="eastAsia" w:asciiTheme="minorEastAsia" w:hAnsiTheme="minorEastAsia" w:eastAsiaTheme="minorEastAsia"/>
                <w:b/>
                <w:bCs/>
                <w:color w:val="000000"/>
                <w:u w:val="none"/>
                <w:lang w:eastAsia="zh-CN"/>
              </w:rPr>
              <w:t>三、</w:t>
            </w:r>
            <w:r>
              <w:rPr>
                <w:rFonts w:asciiTheme="minorEastAsia" w:hAnsiTheme="minorEastAsia" w:eastAsiaTheme="minorEastAsia"/>
                <w:b/>
                <w:bCs/>
                <w:color w:val="000000"/>
                <w:u w:val="none"/>
              </w:rPr>
              <w:t>具有</w:t>
            </w:r>
            <w:r>
              <w:rPr>
                <w:rFonts w:hint="eastAsia" w:asciiTheme="minorEastAsia" w:hAnsiTheme="minorEastAsia" w:eastAsiaTheme="minorEastAsia"/>
                <w:b/>
                <w:bCs/>
                <w:color w:val="000000"/>
                <w:u w:val="none"/>
              </w:rPr>
              <w:t>VR编辑功能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lang w:val="en-US" w:eastAsia="zh-CN"/>
              </w:rPr>
              <w:t>具有</w:t>
            </w:r>
            <w:r>
              <w:rPr>
                <w:rFonts w:hint="eastAsia" w:asciiTheme="minorEastAsia" w:hAnsiTheme="minorEastAsia" w:eastAsiaTheme="minorEastAsia"/>
                <w:color w:val="000000"/>
                <w:u w:val="none"/>
              </w:rPr>
              <w:t>场景编辑功能：可添加删除、拖动、变换(放大、缩小、旋转)模型，选中模型，即在右侧显示该模型的属性界面，属性有：长、宽、高、旋转角度、关联的硬件，所有属性均可设置；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1.1可以通过模型摆放出多间房屋或多层楼房；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1.2选中模型，按住鼠标左键，即可移动物品；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rPr>
              <w:t>1.3地面可以通过输入长宽自动生成。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u w:val="none"/>
                <w:lang w:val="en-US" w:eastAsia="zh-CN"/>
              </w:rPr>
            </w:pPr>
            <w:r>
              <w:rPr>
                <w:rFonts w:hint="eastAsia" w:asciiTheme="minorEastAsia" w:hAnsiTheme="minorEastAsia" w:eastAsiaTheme="minorEastAsia"/>
                <w:color w:val="000000"/>
                <w:u w:val="none"/>
                <w:lang w:val="en-US" w:eastAsia="zh-CN"/>
              </w:rPr>
              <w:t>1.4 支持室外景观建模及摄像录入及编辑。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2</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支持场景一键渲染效果图，在编辑界面实时显示效果图相机预览框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3</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可以设置鼠标的速度，操作工具的大小；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4</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支持一键截屏功能，可将编辑好的作品一键录成视频或图片保存至本地；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5</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坐标方式可选择世界坐标和万向坐标；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6</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支持将编辑的结果导入导出，从别处导入的场景可再次编辑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7</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刻度显示：显示物体长度、用户测量的模型之间的距离。通过”标尺开关” 控制是否显示刻度；通过”测量工具”测量两点之间的平面距离，使用标尺工具，需要用户自己测量。确定一点，拖动即可显示标尺。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8、具备独立的UI系统，可自主编辑UI界面，更换UI颜色，字体布局等（需提供软件功能截图证明，并加盖厂商公章）；</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9</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用户可以在操作界面中摆放资源，修改材质，添加删除等一系列操作；</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10</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支持自由导入导出编辑资源等功能；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11</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BSP模型，可进行实时布尔运算，如挖空，掏洞等；</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b/>
                <w:bCs/>
                <w:color w:val="000000"/>
                <w:u w:val="none"/>
              </w:rPr>
            </w:pPr>
            <w:r>
              <w:rPr>
                <w:rFonts w:hint="eastAsia" w:asciiTheme="minorEastAsia" w:hAnsiTheme="minorEastAsia" w:eastAsiaTheme="minorEastAsia"/>
                <w:b/>
                <w:bCs/>
                <w:color w:val="000000"/>
                <w:u w:val="none"/>
                <w:lang w:eastAsia="zh-CN"/>
              </w:rPr>
              <w:t>四、</w:t>
            </w:r>
            <w:r>
              <w:rPr>
                <w:rFonts w:hint="eastAsia" w:asciiTheme="minorEastAsia" w:hAnsiTheme="minorEastAsia" w:eastAsiaTheme="minorEastAsia"/>
                <w:b/>
                <w:bCs/>
                <w:color w:val="000000"/>
                <w:u w:val="none"/>
              </w:rPr>
              <w:t>可兼容多种</w:t>
            </w:r>
            <w:r>
              <w:rPr>
                <w:rFonts w:hint="eastAsia" w:asciiTheme="minorEastAsia" w:hAnsiTheme="minorEastAsia" w:eastAsiaTheme="minorEastAsia"/>
                <w:b/>
                <w:bCs/>
                <w:color w:val="000000"/>
                <w:u w:val="none"/>
                <w:lang w:val="en-US" w:eastAsia="zh-CN"/>
              </w:rPr>
              <w:t>建模</w:t>
            </w:r>
            <w:r>
              <w:rPr>
                <w:rFonts w:hint="eastAsia" w:asciiTheme="minorEastAsia" w:hAnsiTheme="minorEastAsia" w:eastAsiaTheme="minorEastAsia"/>
                <w:b/>
                <w:bCs/>
                <w:color w:val="000000"/>
                <w:u w:val="none"/>
              </w:rPr>
              <w:t>软件、可进行动漫游设计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rPr>
              <w:t>1</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lang w:val="en-US" w:eastAsia="zh-CN"/>
              </w:rPr>
              <w:t>支持</w:t>
            </w:r>
            <w:r>
              <w:rPr>
                <w:rFonts w:hint="eastAsia" w:asciiTheme="minorEastAsia" w:hAnsiTheme="minorEastAsia" w:eastAsiaTheme="minorEastAsia"/>
                <w:color w:val="000000"/>
                <w:u w:val="none"/>
              </w:rPr>
              <w:t>多种</w:t>
            </w:r>
            <w:r>
              <w:rPr>
                <w:rFonts w:hint="eastAsia" w:asciiTheme="minorEastAsia" w:hAnsiTheme="minorEastAsia" w:eastAsiaTheme="minorEastAsia"/>
                <w:color w:val="000000"/>
                <w:u w:val="none"/>
                <w:lang w:val="en-US" w:eastAsia="zh-CN"/>
              </w:rPr>
              <w:t>建模</w:t>
            </w:r>
            <w:r>
              <w:rPr>
                <w:rFonts w:hint="eastAsia" w:asciiTheme="minorEastAsia" w:hAnsiTheme="minorEastAsia" w:eastAsiaTheme="minorEastAsia"/>
                <w:color w:val="000000"/>
                <w:u w:val="none"/>
              </w:rPr>
              <w:t>软件</w:t>
            </w:r>
            <w:r>
              <w:rPr>
                <w:rFonts w:hint="eastAsia" w:asciiTheme="minorEastAsia" w:hAnsiTheme="minorEastAsia" w:eastAsiaTheme="minorEastAsia"/>
                <w:color w:val="000000"/>
                <w:u w:val="none"/>
                <w:lang w:val="en-US" w:eastAsia="zh-CN"/>
              </w:rPr>
              <w:t>进行模型导入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2.</w:t>
            </w:r>
            <w:r>
              <w:rPr>
                <w:rFonts w:hint="eastAsia" w:asciiTheme="minorEastAsia" w:hAnsiTheme="minorEastAsia" w:eastAsiaTheme="minorEastAsia"/>
                <w:color w:val="000000"/>
                <w:u w:val="none"/>
              </w:rPr>
              <w:t>支持CAD户型图参考，自由画户型，标注，显示。户型图实时转换3D模型；支持分层管理资源类型，自主设置墙体颜色，可在2D及3D界面下自由转换；</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3.</w:t>
            </w:r>
            <w:r>
              <w:rPr>
                <w:rFonts w:hint="eastAsia" w:asciiTheme="minorEastAsia" w:hAnsiTheme="minorEastAsia" w:eastAsiaTheme="minorEastAsia"/>
                <w:color w:val="000000"/>
                <w:u w:val="none"/>
              </w:rPr>
              <w:t>软件环境运行分为几何体模式和组件模式；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4.</w:t>
            </w:r>
            <w:r>
              <w:rPr>
                <w:rFonts w:hint="eastAsia" w:asciiTheme="minorEastAsia" w:hAnsiTheme="minorEastAsia" w:eastAsiaTheme="minorEastAsia"/>
                <w:color w:val="000000"/>
                <w:u w:val="none"/>
              </w:rPr>
              <w:t>提供基础视角查看和移动功能，设计者制作时可使用正常 、鸟瞰等多种方式查看，缩放小地图，通过键盘鼠标可以转动、移动、缩放视角，从不同角度观察作品呈现的状态；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5.</w:t>
            </w:r>
            <w:r>
              <w:rPr>
                <w:rFonts w:hint="eastAsia" w:asciiTheme="minorEastAsia" w:hAnsiTheme="minorEastAsia" w:eastAsiaTheme="minorEastAsia"/>
                <w:color w:val="000000"/>
                <w:u w:val="none"/>
              </w:rPr>
              <w:t>显示质量可以调节为：低-中-高-极高-电影等级别。可选择抗锯齿类型，以便显示更高质量的要求；</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6.</w:t>
            </w:r>
            <w:r>
              <w:rPr>
                <w:rFonts w:hint="eastAsia" w:asciiTheme="minorEastAsia" w:hAnsiTheme="minorEastAsia" w:eastAsiaTheme="minorEastAsia"/>
                <w:color w:val="000000"/>
                <w:u w:val="none"/>
              </w:rPr>
              <w:t>支持资源搜索栏快速搜索资源；</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7</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以XYZ轴为中心镜像模型；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8</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平面工具类包括：修改，墙体绘制，快速墙体绘制，绘制区域，油漆桶，删除，切割等实用性工具；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9</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平面组件类包括：单开门，双开门，推拉门，窗，落地窗，飘窗，门洞，柱子，注释，标签等；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10</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添加后的组件仍然可以自由编辑，整体移动，二次编辑宽度，离地，高度，长度等；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11</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可以开启多种辅助功能，如：显示分割线，标尺，模型，BSP、捕捉网点和自动对接，可以调节捕捉误差值；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12</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可在新加层上绘制两层以上房屋的户型图，从而生成三维多层楼房；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13</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注释和标注功能均可以调节大小，颜色，边框颜色等；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14</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支持主流3种以上VR类型设备，支持随时编辑随时可带上VR眼镜进行体验，所见即所得；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b/>
                <w:bCs/>
                <w:color w:val="000000"/>
                <w:u w:val="none"/>
              </w:rPr>
            </w:pPr>
            <w:r>
              <w:rPr>
                <w:rFonts w:hint="eastAsia" w:asciiTheme="minorEastAsia" w:hAnsiTheme="minorEastAsia" w:eastAsiaTheme="minorEastAsia"/>
                <w:b/>
                <w:bCs/>
                <w:color w:val="000000"/>
                <w:u w:val="none"/>
              </w:rPr>
              <w:t>五、</w:t>
            </w:r>
            <w:r>
              <w:rPr>
                <w:rFonts w:asciiTheme="minorEastAsia" w:hAnsiTheme="minorEastAsia" w:eastAsiaTheme="minorEastAsia"/>
                <w:b/>
                <w:bCs/>
                <w:color w:val="000000"/>
                <w:u w:val="none"/>
              </w:rPr>
              <w:t>VR/AR 开发的资源包，具体内容如下: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asciiTheme="minorEastAsia" w:hAnsiTheme="minorEastAsia" w:eastAsiaTheme="minorEastAsia"/>
                <w:color w:val="000000"/>
                <w:u w:val="none"/>
              </w:rPr>
              <w:t>1</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Unity 开发概论</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asciiTheme="minorEastAsia" w:hAnsiTheme="minorEastAsia" w:eastAsiaTheme="minorEastAsia"/>
                <w:color w:val="000000"/>
                <w:u w:val="none"/>
              </w:rPr>
              <w:t>2</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Unity3D 开发环境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asciiTheme="minorEastAsia" w:hAnsiTheme="minorEastAsia" w:eastAsiaTheme="minorEastAsia"/>
                <w:color w:val="000000"/>
                <w:u w:val="none"/>
              </w:rPr>
              <w:t>3</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进入Unity3D的世界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asciiTheme="minorEastAsia" w:hAnsiTheme="minorEastAsia" w:eastAsiaTheme="minorEastAsia"/>
                <w:color w:val="000000"/>
                <w:u w:val="none"/>
              </w:rPr>
              <w:t>4</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美术素材导入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asciiTheme="minorEastAsia" w:hAnsiTheme="minorEastAsia" w:eastAsiaTheme="minorEastAsia"/>
                <w:color w:val="000000"/>
                <w:u w:val="none"/>
              </w:rPr>
              <w:t>5</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C#脚本编程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6</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第一人称迷宫逃出设计（第一人称迷宫逃出设计）</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7</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设计第一人称控制器（设计第一人称控制器）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8</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搭建3D虚拟场景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9</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起始场景交互内容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10</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起重机交互内容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11</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炮塔交互内容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12</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结局场景设计与实现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13</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VR项目管理器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14</w:t>
            </w:r>
            <w:r>
              <w:rPr>
                <w:rFonts w:hint="eastAsia" w:asciiTheme="minorEastAsia" w:hAnsiTheme="minorEastAsia" w:eastAsiaTheme="minorEastAsia"/>
                <w:color w:val="000000"/>
                <w:u w:val="none"/>
                <w:lang w:eastAsia="zh-CN"/>
              </w:rPr>
              <w:t>.</w:t>
            </w:r>
            <w:r>
              <w:rPr>
                <w:rFonts w:asciiTheme="minorEastAsia" w:hAnsiTheme="minorEastAsia" w:eastAsiaTheme="minorEastAsia"/>
                <w:color w:val="000000"/>
                <w:u w:val="none"/>
              </w:rPr>
              <w:t>移植VR项目</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lang w:val="en-US" w:eastAsia="zh-CN"/>
              </w:rPr>
              <w:t>15.</w:t>
            </w:r>
            <w:r>
              <w:rPr>
                <w:rFonts w:asciiTheme="minorEastAsia" w:hAnsiTheme="minorEastAsia" w:eastAsiaTheme="minorEastAsia"/>
                <w:color w:val="000000"/>
                <w:u w:val="none"/>
              </w:rPr>
              <w:t>提供模型资源库,至少1000个模型以上。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b/>
                <w:bCs/>
                <w:color w:val="000000"/>
                <w:u w:val="none"/>
              </w:rPr>
            </w:pPr>
            <w:r>
              <w:rPr>
                <w:rFonts w:hint="eastAsia" w:asciiTheme="minorEastAsia" w:hAnsiTheme="minorEastAsia" w:eastAsiaTheme="minorEastAsia"/>
                <w:b/>
                <w:bCs/>
                <w:color w:val="000000"/>
                <w:u w:val="none"/>
              </w:rPr>
              <w:t>六、具有多种材质库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1</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支持obj模型导入编辑器建立本地自主模型库资源使用，支持将本地图片导入自主制作材质球，包含独立材质编辑系统；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2</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在线资源库即云端共享资源包括样板间和各类上传模型；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3</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支持动力学模拟，灯，门等开关交互功能；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olor w:val="000000"/>
                <w:u w:val="none"/>
              </w:rPr>
            </w:pPr>
            <w:r>
              <w:rPr>
                <w:rFonts w:hint="eastAsia" w:asciiTheme="minorEastAsia" w:hAnsiTheme="minorEastAsia" w:eastAsiaTheme="minorEastAsia"/>
                <w:color w:val="000000"/>
                <w:u w:val="none"/>
              </w:rPr>
              <w:t>4</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场景设置模拟天气，整体后期效果调整，如：光照，色调，景深，光晕等；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olor w:val="000000"/>
                <w:u w:val="none"/>
              </w:rPr>
            </w:pPr>
            <w:r>
              <w:rPr>
                <w:rFonts w:hint="eastAsia" w:asciiTheme="minorEastAsia" w:hAnsiTheme="minorEastAsia" w:eastAsiaTheme="minorEastAsia"/>
                <w:color w:val="000000"/>
                <w:u w:val="none"/>
              </w:rPr>
              <w:t>5</w:t>
            </w:r>
            <w:r>
              <w:rPr>
                <w:rFonts w:hint="eastAsia" w:asciiTheme="minorEastAsia" w:hAnsiTheme="minorEastAsia" w:eastAsiaTheme="minorEastAsia"/>
                <w:color w:val="000000"/>
                <w:u w:val="none"/>
                <w:lang w:eastAsia="zh-CN"/>
              </w:rPr>
              <w:t>.</w:t>
            </w:r>
            <w:r>
              <w:rPr>
                <w:rFonts w:hint="eastAsia" w:asciiTheme="minorEastAsia" w:hAnsiTheme="minorEastAsia" w:eastAsiaTheme="minorEastAsia"/>
                <w:color w:val="000000"/>
                <w:u w:val="none"/>
              </w:rPr>
              <w:t>灯光包括：点光源，射灯光源，聚光灯Complex IESh和聚光灯NarrowComplex IES；</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heme="minorEastAsia" w:hAnsiTheme="minorEastAsia" w:cstheme="minorEastAsia"/>
              </w:rPr>
            </w:pPr>
            <w:r>
              <w:rPr>
                <w:rFonts w:hint="eastAsia" w:asciiTheme="minorEastAsia" w:hAnsiTheme="minorEastAsia" w:eastAsiaTheme="minorEastAsia"/>
                <w:b/>
                <w:bCs/>
                <w:color w:val="000000"/>
                <w:u w:val="none"/>
                <w:lang w:val="en-US" w:eastAsia="zh-CN"/>
              </w:rPr>
              <w:t>七、支持设计成果的发布，形成独立运行的软件。</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eastAsia="宋体" w:asciiTheme="minorEastAsia" w:hAnsiTheme="minorEastAsia" w:cstheme="minorEastAsia"/>
                <w:kern w:val="2"/>
                <w:sz w:val="21"/>
                <w:szCs w:val="24"/>
                <w:lang w:val="en-US" w:eastAsia="zh-CN" w:bidi="ar-SA"/>
              </w:rPr>
            </w:pPr>
            <w:r>
              <w:rPr>
                <w:rFonts w:hint="eastAsia" w:eastAsia="宋体" w:asciiTheme="minorEastAsia" w:hAnsiTheme="minorEastAsia" w:cstheme="minorEastAsia"/>
                <w:kern w:val="2"/>
                <w:sz w:val="21"/>
                <w:szCs w:val="24"/>
                <w:lang w:val="en-US" w:eastAsia="zh-CN" w:bidi="ar-SA"/>
              </w:rPr>
              <w:t>21</w:t>
            </w:r>
          </w:p>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eastAsia="宋体" w:asciiTheme="minorEastAsia" w:hAnsiTheme="minorEastAsia" w:cstheme="minorEastAsia"/>
                <w:kern w:val="2"/>
                <w:sz w:val="21"/>
                <w:szCs w:val="24"/>
                <w:lang w:val="en-US" w:eastAsia="zh-CN" w:bidi="ar-SA"/>
              </w:rPr>
              <w:t>节点</w:t>
            </w:r>
          </w:p>
        </w:tc>
      </w:tr>
    </w:tbl>
    <w:p>
      <w:pPr>
        <w:pStyle w:val="15"/>
        <w:ind w:left="0" w:leftChars="0" w:firstLine="0" w:firstLineChars="0"/>
        <w:jc w:val="center"/>
        <w:rPr>
          <w:rFonts w:hint="eastAsia" w:ascii="方正小标宋简体" w:hAnsi="方正小标宋简体" w:eastAsia="方正小标宋简体" w:cs="方正小标宋简体"/>
          <w:b w:val="0"/>
          <w:bCs w:val="0"/>
          <w:sz w:val="28"/>
          <w:szCs w:val="28"/>
        </w:rPr>
      </w:pPr>
    </w:p>
    <w:p>
      <w:pPr>
        <w:keepNext w:val="0"/>
        <w:keepLines w:val="0"/>
        <w:pageBreakBefore w:val="0"/>
        <w:widowControl/>
        <w:kinsoku/>
        <w:wordWrap/>
        <w:overflowPunct/>
        <w:topLinePunct w:val="0"/>
        <w:autoSpaceDE/>
        <w:autoSpaceDN/>
        <w:bidi w:val="0"/>
        <w:adjustRightInd/>
        <w:snapToGrid/>
        <w:spacing w:line="36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autoSpaceDE/>
        <w:autoSpaceDN/>
        <w:bidi w:val="0"/>
        <w:adjustRightInd/>
        <w:snapToGrid/>
        <w:spacing w:line="36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bidi w:val="0"/>
        <w:spacing w:line="50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bidi w:val="0"/>
        <w:spacing w:line="500" w:lineRule="exact"/>
        <w:ind w:right="424" w:firstLine="4420" w:firstLineChars="2947"/>
        <w:textAlignment w:val="auto"/>
        <w:rPr>
          <w:rFonts w:ascii="ˎ̥" w:hAnsi="ˎ̥" w:cs="宋体"/>
          <w:color w:val="333333"/>
          <w:kern w:val="0"/>
          <w:sz w:val="15"/>
          <w:szCs w:val="15"/>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eastAsia="文鼎CS楷体"/>
          <w:bCs/>
          <w:sz w:val="28"/>
          <w:lang w:val="en-US" w:eastAsia="zh-CN"/>
        </w:rPr>
        <w:t>VR编辑展示软件</w:t>
      </w:r>
      <w:r>
        <w:rPr>
          <w:rFonts w:hint="eastAsia" w:hAnsi="宋体" w:eastAsia="文鼎CS楷体"/>
          <w:bCs/>
          <w:sz w:val="28"/>
          <w:lang w:eastAsia="zh-CN"/>
        </w:rPr>
        <w:t>采购项目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3</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年1</w:t>
      </w:r>
      <w:r>
        <w:rPr>
          <w:rFonts w:hint="eastAsia" w:ascii="宋体" w:hAnsi="宋体" w:cs="Arial"/>
          <w:color w:val="000000"/>
          <w:sz w:val="28"/>
          <w:szCs w:val="28"/>
          <w:lang w:val="en-US" w:eastAsia="zh-CN"/>
        </w:rPr>
        <w:t>2</w:t>
      </w:r>
      <w:r>
        <w:rPr>
          <w:rFonts w:hint="eastAsia" w:ascii="宋体" w:hAnsi="宋体" w:cs="Arial"/>
          <w:color w:val="000000"/>
          <w:sz w:val="28"/>
          <w:szCs w:val="28"/>
        </w:rPr>
        <w:t>月</w:t>
      </w:r>
      <w:r>
        <w:rPr>
          <w:rFonts w:hint="eastAsia" w:ascii="宋体" w:hAnsi="宋体" w:cs="Arial"/>
          <w:color w:val="000000"/>
          <w:sz w:val="28"/>
          <w:szCs w:val="28"/>
          <w:lang w:val="en-US" w:eastAsia="zh-CN"/>
        </w:rPr>
        <w:t>9</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并领取</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201</w:t>
      </w:r>
      <w:r>
        <w:rPr>
          <w:rFonts w:hint="eastAsia" w:ascii="宋体" w:hAnsi="宋体" w:cs="Arial"/>
          <w:color w:val="000000"/>
          <w:sz w:val="28"/>
          <w:szCs w:val="28"/>
          <w:u w:val="none"/>
          <w:lang w:val="en-US" w:eastAsia="zh-CN"/>
        </w:rPr>
        <w:t>9</w:t>
      </w:r>
      <w:r>
        <w:rPr>
          <w:rFonts w:hint="eastAsia" w:ascii="宋体" w:hAnsi="宋体" w:cs="Arial"/>
          <w:color w:val="000000"/>
          <w:sz w:val="28"/>
          <w:szCs w:val="28"/>
          <w:u w:val="none"/>
        </w:rPr>
        <w:t>年</w:t>
      </w:r>
      <w:r>
        <w:rPr>
          <w:rFonts w:hint="eastAsia" w:ascii="宋体" w:hAnsi="宋体" w:cs="Arial"/>
          <w:color w:val="000000"/>
          <w:sz w:val="28"/>
          <w:szCs w:val="28"/>
          <w:u w:val="none"/>
          <w:lang w:val="en-US" w:eastAsia="zh-CN"/>
        </w:rPr>
        <w:t>12</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16</w:t>
      </w:r>
      <w:r>
        <w:rPr>
          <w:rFonts w:hint="eastAsia" w:ascii="宋体" w:hAnsi="宋体" w:cs="Arial"/>
          <w:color w:val="000000"/>
          <w:sz w:val="28"/>
          <w:szCs w:val="28"/>
          <w:u w:val="none"/>
        </w:rPr>
        <w:t>日0</w:t>
      </w:r>
      <w:r>
        <w:rPr>
          <w:rFonts w:hint="eastAsia" w:hAnsi="宋体" w:cs="Arial"/>
          <w:color w:val="000000"/>
          <w:sz w:val="28"/>
          <w:szCs w:val="28"/>
          <w:u w:val="none"/>
          <w:lang w:val="en-US" w:eastAsia="zh-CN"/>
        </w:rPr>
        <w:t>8</w:t>
      </w:r>
      <w:r>
        <w:rPr>
          <w:rFonts w:hint="eastAsia" w:ascii="宋体" w:hAnsi="宋体" w:cs="Arial"/>
          <w:color w:val="000000"/>
          <w:sz w:val="28"/>
          <w:szCs w:val="28"/>
          <w:u w:val="none"/>
        </w:rPr>
        <w:t>时00分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18</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rPr>
      </w:pPr>
      <w:r>
        <w:rPr>
          <w:rFonts w:hint="eastAsia" w:ascii="黑体" w:hAnsi="黑体" w:eastAsia="黑体" w:cs="黑体"/>
          <w:b w:val="0"/>
          <w:bCs/>
          <w:sz w:val="36"/>
          <w:szCs w:val="36"/>
        </w:rPr>
        <w:t>第六章  合同条款及格式</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2019</w:t>
      </w:r>
      <w:r>
        <w:rPr>
          <w:rFonts w:hint="eastAsia" w:ascii="宋体" w:hAnsi="宋体"/>
          <w:color w:val="000000"/>
          <w:sz w:val="24"/>
        </w:rPr>
        <w:t>年</w:t>
      </w:r>
      <w:r>
        <w:rPr>
          <w:rFonts w:hint="eastAsia" w:ascii="宋体" w:hAnsi="宋体"/>
          <w:color w:val="000000"/>
          <w:sz w:val="24"/>
          <w:lang w:val="en-US" w:eastAsia="zh-CN"/>
        </w:rPr>
        <w:t>12</w:t>
      </w:r>
      <w:r>
        <w:rPr>
          <w:rFonts w:hint="eastAsia" w:ascii="宋体" w:hAnsi="宋体"/>
          <w:color w:val="000000"/>
          <w:sz w:val="24"/>
        </w:rPr>
        <w:t>月</w:t>
      </w:r>
      <w:r>
        <w:rPr>
          <w:rFonts w:hint="eastAsia" w:ascii="宋体" w:hAnsi="宋体"/>
          <w:color w:val="000000"/>
          <w:sz w:val="24"/>
          <w:lang w:val="en-US" w:eastAsia="zh-CN"/>
        </w:rPr>
        <w:t>30</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签订合同后，甲方在一周之内支付合同款总额的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B5463C5"/>
    <w:rsid w:val="0D600A48"/>
    <w:rsid w:val="0E1637A8"/>
    <w:rsid w:val="0EAE3E9B"/>
    <w:rsid w:val="19247E77"/>
    <w:rsid w:val="25600D37"/>
    <w:rsid w:val="29230138"/>
    <w:rsid w:val="2A9F0464"/>
    <w:rsid w:val="2B5C77BF"/>
    <w:rsid w:val="2F5D1E22"/>
    <w:rsid w:val="2FDE319B"/>
    <w:rsid w:val="330724E2"/>
    <w:rsid w:val="375029D4"/>
    <w:rsid w:val="38335DC1"/>
    <w:rsid w:val="39DD67DF"/>
    <w:rsid w:val="39FC764D"/>
    <w:rsid w:val="3ABD653D"/>
    <w:rsid w:val="3D0A7737"/>
    <w:rsid w:val="3E701FDD"/>
    <w:rsid w:val="4B0C3582"/>
    <w:rsid w:val="4EB7573A"/>
    <w:rsid w:val="532B2611"/>
    <w:rsid w:val="549A75F3"/>
    <w:rsid w:val="57E31CAF"/>
    <w:rsid w:val="5A8565D6"/>
    <w:rsid w:val="5D1F77E7"/>
    <w:rsid w:val="6B5450B6"/>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Administrator</cp:lastModifiedBy>
  <cp:lastPrinted>2019-11-28T06:07:00Z</cp:lastPrinted>
  <dcterms:modified xsi:type="dcterms:W3CDTF">2019-12-05T01:15:36Z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